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7D9F" w14:textId="5DB409D9" w:rsidR="008348C4" w:rsidRDefault="003379DF" w:rsidP="003379DF">
      <w:pPr>
        <w:rPr>
          <w:sz w:val="28"/>
          <w:szCs w:val="28"/>
        </w:rPr>
      </w:pPr>
      <w:r w:rsidRPr="003379DF">
        <w:rPr>
          <w:sz w:val="28"/>
          <w:szCs w:val="28"/>
        </w:rPr>
        <w:t>W trakcie spotkania, prowadzonego w oparciu o konkretne przykłady będą omawiane następujące zagadnienia:</w:t>
      </w:r>
    </w:p>
    <w:p w14:paraId="07A42638" w14:textId="77777777" w:rsidR="003379DF" w:rsidRPr="003379DF" w:rsidRDefault="003379DF" w:rsidP="003379DF">
      <w:pPr>
        <w:rPr>
          <w:rFonts w:ascii="Arial" w:hAnsi="Arial" w:cs="Arial"/>
          <w:i/>
          <w:color w:val="1F497D"/>
          <w:sz w:val="28"/>
          <w:szCs w:val="28"/>
        </w:rPr>
      </w:pPr>
    </w:p>
    <w:p w14:paraId="308462AC" w14:textId="6282B8C7" w:rsidR="00A359EC" w:rsidRDefault="00A359EC" w:rsidP="00A359EC">
      <w:pPr>
        <w:rPr>
          <w:rFonts w:cstheme="minorHAnsi"/>
          <w:i/>
          <w:color w:val="000000" w:themeColor="text1"/>
          <w:sz w:val="28"/>
          <w:szCs w:val="28"/>
        </w:rPr>
      </w:pPr>
      <w:r w:rsidRPr="00A359EC">
        <w:rPr>
          <w:rFonts w:ascii="Arial" w:hAnsi="Arial" w:cs="Arial"/>
          <w:i/>
          <w:color w:val="1F497D"/>
          <w:sz w:val="32"/>
          <w:szCs w:val="32"/>
        </w:rPr>
        <w:t>•</w:t>
      </w:r>
      <w:r w:rsidRPr="00A359EC">
        <w:rPr>
          <w:rFonts w:ascii="Arial" w:hAnsi="Arial" w:cs="Arial"/>
          <w:i/>
          <w:color w:val="1F497D"/>
          <w:sz w:val="32"/>
          <w:szCs w:val="32"/>
        </w:rPr>
        <w:tab/>
      </w:r>
      <w:r w:rsidRPr="00A359EC">
        <w:rPr>
          <w:rFonts w:cstheme="minorHAnsi"/>
          <w:i/>
          <w:color w:val="000000" w:themeColor="text1"/>
          <w:sz w:val="28"/>
          <w:szCs w:val="28"/>
        </w:rPr>
        <w:t>Wymagania normy PN-EN ISO/IEC 17025:2018-02 oraz dokumentów związanych w zakresie oceny niepewności pomiaru</w:t>
      </w:r>
    </w:p>
    <w:p w14:paraId="61CA30A8" w14:textId="02550AFB" w:rsidR="00A359EC" w:rsidRPr="00180E2C" w:rsidRDefault="00A359EC" w:rsidP="00A359EC">
      <w:pPr>
        <w:rPr>
          <w:rFonts w:cstheme="minorHAnsi"/>
          <w:i/>
          <w:color w:val="000000" w:themeColor="text1"/>
          <w:sz w:val="28"/>
          <w:szCs w:val="28"/>
        </w:rPr>
      </w:pPr>
      <w:r w:rsidRPr="00A359EC">
        <w:rPr>
          <w:rFonts w:cstheme="minorHAnsi"/>
          <w:i/>
          <w:color w:val="000000" w:themeColor="text1"/>
          <w:sz w:val="28"/>
          <w:szCs w:val="28"/>
        </w:rPr>
        <w:t>•</w:t>
      </w:r>
      <w:r w:rsidRPr="00A359EC">
        <w:rPr>
          <w:rFonts w:cstheme="minorHAnsi"/>
          <w:i/>
          <w:color w:val="000000" w:themeColor="text1"/>
          <w:sz w:val="28"/>
          <w:szCs w:val="28"/>
        </w:rPr>
        <w:tab/>
      </w:r>
      <w:r w:rsidRPr="00180E2C">
        <w:rPr>
          <w:rFonts w:cstheme="minorHAnsi"/>
          <w:i/>
          <w:color w:val="000000" w:themeColor="text1"/>
          <w:sz w:val="28"/>
          <w:szCs w:val="28"/>
        </w:rPr>
        <w:t>Podstawowe definicje związane z oceną niepewności pomiaru</w:t>
      </w:r>
    </w:p>
    <w:p w14:paraId="1392EF24" w14:textId="12AB1ED0" w:rsidR="007F41AF" w:rsidRPr="00180E2C" w:rsidRDefault="007F41AF" w:rsidP="00180E2C">
      <w:pPr>
        <w:pStyle w:val="Akapitzlist"/>
        <w:numPr>
          <w:ilvl w:val="0"/>
          <w:numId w:val="10"/>
        </w:numPr>
        <w:spacing w:line="360" w:lineRule="auto"/>
        <w:ind w:left="426" w:hanging="426"/>
        <w:rPr>
          <w:rFonts w:cstheme="minorHAnsi"/>
          <w:i/>
          <w:color w:val="000000" w:themeColor="text1"/>
          <w:sz w:val="28"/>
          <w:szCs w:val="28"/>
        </w:rPr>
      </w:pPr>
      <w:r w:rsidRPr="00180E2C">
        <w:rPr>
          <w:rFonts w:cstheme="minorHAnsi"/>
          <w:i/>
          <w:color w:val="000000" w:themeColor="text1"/>
          <w:sz w:val="28"/>
          <w:szCs w:val="28"/>
        </w:rPr>
        <w:t xml:space="preserve">    Definicja wyniku (wynik ważny/rezultat badania)</w:t>
      </w:r>
    </w:p>
    <w:p w14:paraId="5C101385" w14:textId="77777777" w:rsidR="00180E2C" w:rsidRPr="00180E2C" w:rsidRDefault="00180E2C" w:rsidP="00180E2C">
      <w:pPr>
        <w:pStyle w:val="Akapitzlist"/>
        <w:numPr>
          <w:ilvl w:val="0"/>
          <w:numId w:val="11"/>
        </w:numPr>
        <w:spacing w:line="360" w:lineRule="auto"/>
        <w:ind w:hanging="720"/>
        <w:rPr>
          <w:i/>
          <w:sz w:val="28"/>
          <w:szCs w:val="28"/>
        </w:rPr>
      </w:pPr>
      <w:r w:rsidRPr="00180E2C">
        <w:rPr>
          <w:i/>
          <w:sz w:val="28"/>
          <w:szCs w:val="28"/>
        </w:rPr>
        <w:t>Zapis i reguły zaokrąglania wyników pomiaru, błędów i niepewności</w:t>
      </w:r>
    </w:p>
    <w:p w14:paraId="6FC9BFDD" w14:textId="77777777" w:rsidR="00180E2C" w:rsidRPr="00180E2C" w:rsidRDefault="00180E2C" w:rsidP="00180E2C">
      <w:pPr>
        <w:pStyle w:val="Akapitzlist"/>
        <w:numPr>
          <w:ilvl w:val="0"/>
          <w:numId w:val="11"/>
        </w:numPr>
        <w:spacing w:line="360" w:lineRule="auto"/>
        <w:ind w:hanging="720"/>
        <w:rPr>
          <w:i/>
          <w:sz w:val="28"/>
          <w:szCs w:val="28"/>
        </w:rPr>
      </w:pPr>
      <w:r w:rsidRPr="00180E2C">
        <w:rPr>
          <w:i/>
          <w:sz w:val="28"/>
          <w:szCs w:val="28"/>
        </w:rPr>
        <w:t>Cyfry znaczące w wynikach pomiarów</w:t>
      </w:r>
    </w:p>
    <w:p w14:paraId="24B98482" w14:textId="77777777" w:rsidR="00A359EC" w:rsidRPr="00180E2C" w:rsidRDefault="00A359EC" w:rsidP="00A359EC">
      <w:pPr>
        <w:rPr>
          <w:rFonts w:cstheme="minorHAnsi"/>
          <w:i/>
          <w:color w:val="000000" w:themeColor="text1"/>
          <w:sz w:val="28"/>
          <w:szCs w:val="28"/>
        </w:rPr>
      </w:pPr>
      <w:r w:rsidRPr="00180E2C">
        <w:rPr>
          <w:rFonts w:cstheme="minorHAnsi"/>
          <w:i/>
          <w:color w:val="000000" w:themeColor="text1"/>
          <w:sz w:val="28"/>
          <w:szCs w:val="28"/>
        </w:rPr>
        <w:t>•</w:t>
      </w:r>
      <w:r w:rsidRPr="00180E2C">
        <w:rPr>
          <w:rFonts w:cstheme="minorHAnsi"/>
          <w:i/>
          <w:color w:val="000000" w:themeColor="text1"/>
          <w:sz w:val="28"/>
          <w:szCs w:val="28"/>
        </w:rPr>
        <w:tab/>
        <w:t>Błąd pomiarowy a niepewność pomiaru</w:t>
      </w:r>
    </w:p>
    <w:p w14:paraId="5D78403F" w14:textId="77777777" w:rsidR="002B7226" w:rsidRDefault="00A359EC" w:rsidP="002B7226">
      <w:r w:rsidRPr="00A359EC">
        <w:rPr>
          <w:rFonts w:cstheme="minorHAnsi"/>
          <w:i/>
          <w:color w:val="000000" w:themeColor="text1"/>
          <w:sz w:val="28"/>
          <w:szCs w:val="28"/>
        </w:rPr>
        <w:t>•</w:t>
      </w:r>
      <w:r w:rsidRPr="00A359EC">
        <w:rPr>
          <w:rFonts w:cstheme="minorHAnsi"/>
          <w:i/>
          <w:color w:val="000000" w:themeColor="text1"/>
          <w:sz w:val="28"/>
          <w:szCs w:val="28"/>
        </w:rPr>
        <w:tab/>
        <w:t>Prawo propagacji niepewności</w:t>
      </w:r>
      <w:r w:rsidR="002B7226" w:rsidRPr="002B7226">
        <w:t xml:space="preserve"> </w:t>
      </w:r>
    </w:p>
    <w:p w14:paraId="59D15876" w14:textId="69458F4B" w:rsidR="002B7226" w:rsidRPr="002B7226" w:rsidRDefault="002B7226" w:rsidP="002B7226">
      <w:pPr>
        <w:rPr>
          <w:rFonts w:cstheme="minorHAnsi"/>
          <w:i/>
          <w:color w:val="000000" w:themeColor="text1"/>
          <w:sz w:val="28"/>
          <w:szCs w:val="28"/>
        </w:rPr>
      </w:pPr>
      <w:r w:rsidRPr="002B7226">
        <w:rPr>
          <w:rFonts w:cstheme="minorHAnsi"/>
          <w:i/>
          <w:color w:val="000000" w:themeColor="text1"/>
          <w:sz w:val="28"/>
          <w:szCs w:val="28"/>
        </w:rPr>
        <w:t>•</w:t>
      </w:r>
      <w:r w:rsidRPr="002B7226">
        <w:rPr>
          <w:rFonts w:cstheme="minorHAnsi"/>
          <w:i/>
          <w:color w:val="000000" w:themeColor="text1"/>
          <w:sz w:val="28"/>
          <w:szCs w:val="28"/>
        </w:rPr>
        <w:tab/>
        <w:t>Przypomnienie informacji podstawowych o arkuszach kalkulacyjnych</w:t>
      </w:r>
    </w:p>
    <w:p w14:paraId="4F3B874D" w14:textId="77777777" w:rsidR="002B7226" w:rsidRPr="002B7226" w:rsidRDefault="002B7226" w:rsidP="002B7226">
      <w:pPr>
        <w:rPr>
          <w:rFonts w:cstheme="minorHAnsi"/>
          <w:i/>
          <w:color w:val="000000" w:themeColor="text1"/>
          <w:sz w:val="28"/>
          <w:szCs w:val="28"/>
        </w:rPr>
      </w:pPr>
      <w:r w:rsidRPr="002B7226">
        <w:rPr>
          <w:rFonts w:cstheme="minorHAnsi"/>
          <w:i/>
          <w:color w:val="000000" w:themeColor="text1"/>
          <w:sz w:val="28"/>
          <w:szCs w:val="28"/>
        </w:rPr>
        <w:t>•</w:t>
      </w:r>
      <w:r w:rsidRPr="002B7226">
        <w:rPr>
          <w:rFonts w:cstheme="minorHAnsi"/>
          <w:i/>
          <w:color w:val="000000" w:themeColor="text1"/>
          <w:sz w:val="28"/>
          <w:szCs w:val="28"/>
        </w:rPr>
        <w:tab/>
        <w:t>Podstawowe formuły w arkuszach – przypomnienie</w:t>
      </w:r>
    </w:p>
    <w:p w14:paraId="7C1D4325" w14:textId="124EB8FB" w:rsidR="00A359EC" w:rsidRDefault="002B7226" w:rsidP="002B7226">
      <w:pPr>
        <w:rPr>
          <w:rFonts w:cstheme="minorHAnsi"/>
          <w:i/>
          <w:color w:val="000000" w:themeColor="text1"/>
          <w:sz w:val="28"/>
          <w:szCs w:val="28"/>
        </w:rPr>
      </w:pPr>
      <w:r w:rsidRPr="002B7226">
        <w:rPr>
          <w:rFonts w:cstheme="minorHAnsi"/>
          <w:i/>
          <w:color w:val="000000" w:themeColor="text1"/>
          <w:sz w:val="28"/>
          <w:szCs w:val="28"/>
        </w:rPr>
        <w:t>•</w:t>
      </w:r>
      <w:r w:rsidRPr="002B7226">
        <w:rPr>
          <w:rFonts w:cstheme="minorHAnsi"/>
          <w:i/>
          <w:color w:val="000000" w:themeColor="text1"/>
          <w:sz w:val="28"/>
          <w:szCs w:val="28"/>
        </w:rPr>
        <w:tab/>
        <w:t>Przegląd formuł w Excelu na bazie przykładów obliczeniowych</w:t>
      </w:r>
    </w:p>
    <w:p w14:paraId="6A9EFF2A" w14:textId="77777777" w:rsidR="00A359EC" w:rsidRPr="00A359EC" w:rsidRDefault="00A359EC" w:rsidP="00A359EC">
      <w:pPr>
        <w:rPr>
          <w:rFonts w:cstheme="minorHAnsi"/>
          <w:i/>
          <w:color w:val="000000" w:themeColor="text1"/>
          <w:sz w:val="28"/>
          <w:szCs w:val="28"/>
        </w:rPr>
      </w:pPr>
      <w:r w:rsidRPr="00A359EC">
        <w:rPr>
          <w:rFonts w:cstheme="minorHAnsi"/>
          <w:i/>
          <w:color w:val="000000" w:themeColor="text1"/>
          <w:sz w:val="28"/>
          <w:szCs w:val="28"/>
        </w:rPr>
        <w:t>•</w:t>
      </w:r>
      <w:r w:rsidRPr="00A359EC">
        <w:rPr>
          <w:rFonts w:cstheme="minorHAnsi"/>
          <w:i/>
          <w:color w:val="000000" w:themeColor="text1"/>
          <w:sz w:val="28"/>
          <w:szCs w:val="28"/>
        </w:rPr>
        <w:tab/>
        <w:t>Różne podejścia do szacowania niepewności – wybór właściwego algorytmu postępowania</w:t>
      </w:r>
    </w:p>
    <w:p w14:paraId="731020D7" w14:textId="623F05C5" w:rsidR="00A359EC" w:rsidRPr="00A359EC" w:rsidRDefault="00A359EC" w:rsidP="00A359EC">
      <w:pPr>
        <w:pStyle w:val="Akapitzlist"/>
        <w:numPr>
          <w:ilvl w:val="0"/>
          <w:numId w:val="9"/>
        </w:numPr>
        <w:rPr>
          <w:rFonts w:cstheme="minorHAnsi"/>
          <w:i/>
          <w:color w:val="000000" w:themeColor="text1"/>
          <w:sz w:val="28"/>
          <w:szCs w:val="28"/>
        </w:rPr>
      </w:pPr>
      <w:r w:rsidRPr="00A359EC">
        <w:rPr>
          <w:rFonts w:cstheme="minorHAnsi"/>
          <w:i/>
          <w:color w:val="000000" w:themeColor="text1"/>
          <w:sz w:val="28"/>
          <w:szCs w:val="28"/>
        </w:rPr>
        <w:t>podejście wewnątrzlaboratoryjne: model matematyczny, walidacja/weryfikacja metody badawczej</w:t>
      </w:r>
    </w:p>
    <w:p w14:paraId="09A5CD11" w14:textId="26CD526D" w:rsidR="00A359EC" w:rsidRPr="00A359EC" w:rsidRDefault="00A359EC" w:rsidP="00A359EC">
      <w:pPr>
        <w:pStyle w:val="Akapitzlist"/>
        <w:numPr>
          <w:ilvl w:val="0"/>
          <w:numId w:val="9"/>
        </w:numPr>
        <w:rPr>
          <w:rFonts w:cstheme="minorHAnsi"/>
          <w:i/>
          <w:color w:val="000000" w:themeColor="text1"/>
          <w:sz w:val="28"/>
          <w:szCs w:val="28"/>
        </w:rPr>
      </w:pPr>
      <w:r w:rsidRPr="00A359EC">
        <w:rPr>
          <w:rFonts w:cstheme="minorHAnsi"/>
          <w:i/>
          <w:color w:val="000000" w:themeColor="text1"/>
          <w:sz w:val="28"/>
          <w:szCs w:val="28"/>
        </w:rPr>
        <w:t>podejście międzylaboratoryjne: badania biegłości, ocena cech charakterystycznych metody</w:t>
      </w:r>
    </w:p>
    <w:p w14:paraId="38B8CAEF" w14:textId="77777777" w:rsidR="00A359EC" w:rsidRPr="00A359EC" w:rsidRDefault="00A359EC" w:rsidP="00A359EC">
      <w:pPr>
        <w:rPr>
          <w:rFonts w:cstheme="minorHAnsi"/>
          <w:i/>
          <w:color w:val="000000" w:themeColor="text1"/>
          <w:sz w:val="28"/>
          <w:szCs w:val="28"/>
        </w:rPr>
      </w:pPr>
      <w:r w:rsidRPr="00A359EC">
        <w:rPr>
          <w:rFonts w:cstheme="minorHAnsi"/>
          <w:i/>
          <w:color w:val="000000" w:themeColor="text1"/>
          <w:sz w:val="28"/>
          <w:szCs w:val="28"/>
        </w:rPr>
        <w:t>•</w:t>
      </w:r>
      <w:r w:rsidRPr="00A359EC">
        <w:rPr>
          <w:rFonts w:cstheme="minorHAnsi"/>
          <w:i/>
          <w:color w:val="000000" w:themeColor="text1"/>
          <w:sz w:val="28"/>
          <w:szCs w:val="28"/>
        </w:rPr>
        <w:tab/>
        <w:t>Obliczanie przedziałów i poziomów ufności wyników pomiaru</w:t>
      </w:r>
    </w:p>
    <w:p w14:paraId="244E10C9" w14:textId="77777777" w:rsidR="00A359EC" w:rsidRPr="00A359EC" w:rsidRDefault="00A359EC" w:rsidP="00A359EC">
      <w:pPr>
        <w:rPr>
          <w:rFonts w:cstheme="minorHAnsi"/>
          <w:i/>
          <w:color w:val="000000" w:themeColor="text1"/>
          <w:sz w:val="28"/>
          <w:szCs w:val="28"/>
        </w:rPr>
      </w:pPr>
      <w:r w:rsidRPr="00A359EC">
        <w:rPr>
          <w:rFonts w:cstheme="minorHAnsi"/>
          <w:i/>
          <w:color w:val="000000" w:themeColor="text1"/>
          <w:sz w:val="28"/>
          <w:szCs w:val="28"/>
        </w:rPr>
        <w:t>•</w:t>
      </w:r>
      <w:r w:rsidRPr="00A359EC">
        <w:rPr>
          <w:rFonts w:cstheme="minorHAnsi"/>
          <w:i/>
          <w:color w:val="000000" w:themeColor="text1"/>
          <w:sz w:val="28"/>
          <w:szCs w:val="28"/>
        </w:rPr>
        <w:tab/>
        <w:t>Obliczanie niepewności pomiaru metodą typu A i B</w:t>
      </w:r>
    </w:p>
    <w:p w14:paraId="61E6C051" w14:textId="77777777" w:rsidR="00A359EC" w:rsidRPr="00A359EC" w:rsidRDefault="00A359EC" w:rsidP="00A359EC">
      <w:pPr>
        <w:rPr>
          <w:rFonts w:cstheme="minorHAnsi"/>
          <w:i/>
          <w:color w:val="000000" w:themeColor="text1"/>
          <w:sz w:val="28"/>
          <w:szCs w:val="28"/>
        </w:rPr>
      </w:pPr>
      <w:r w:rsidRPr="00A359EC">
        <w:rPr>
          <w:rFonts w:cstheme="minorHAnsi"/>
          <w:i/>
          <w:color w:val="000000" w:themeColor="text1"/>
          <w:sz w:val="28"/>
          <w:szCs w:val="28"/>
        </w:rPr>
        <w:t>•</w:t>
      </w:r>
      <w:r w:rsidRPr="00A359EC">
        <w:rPr>
          <w:rFonts w:cstheme="minorHAnsi"/>
          <w:i/>
          <w:color w:val="000000" w:themeColor="text1"/>
          <w:sz w:val="28"/>
          <w:szCs w:val="28"/>
        </w:rPr>
        <w:tab/>
        <w:t>Obliczanie niepewności złożonej w pomiarach pośrednich</w:t>
      </w:r>
    </w:p>
    <w:p w14:paraId="6C6CC056" w14:textId="77777777" w:rsidR="00A359EC" w:rsidRPr="00A359EC" w:rsidRDefault="00A359EC" w:rsidP="00A359EC">
      <w:pPr>
        <w:rPr>
          <w:rFonts w:cstheme="minorHAnsi"/>
          <w:i/>
          <w:color w:val="000000" w:themeColor="text1"/>
          <w:sz w:val="28"/>
          <w:szCs w:val="28"/>
        </w:rPr>
      </w:pPr>
      <w:r w:rsidRPr="00A359EC">
        <w:rPr>
          <w:rFonts w:cstheme="minorHAnsi"/>
          <w:i/>
          <w:color w:val="000000" w:themeColor="text1"/>
          <w:sz w:val="28"/>
          <w:szCs w:val="28"/>
        </w:rPr>
        <w:t>•</w:t>
      </w:r>
      <w:r w:rsidRPr="00A359EC">
        <w:rPr>
          <w:rFonts w:cstheme="minorHAnsi"/>
          <w:i/>
          <w:color w:val="000000" w:themeColor="text1"/>
          <w:sz w:val="28"/>
          <w:szCs w:val="28"/>
        </w:rPr>
        <w:tab/>
        <w:t>Obliczanie niepewności rozszerzonej</w:t>
      </w:r>
    </w:p>
    <w:p w14:paraId="231B8613" w14:textId="77777777" w:rsidR="00A359EC" w:rsidRPr="00A359EC" w:rsidRDefault="00A359EC" w:rsidP="00A359EC">
      <w:pPr>
        <w:rPr>
          <w:rFonts w:cstheme="minorHAnsi"/>
          <w:i/>
          <w:color w:val="000000" w:themeColor="text1"/>
          <w:sz w:val="28"/>
          <w:szCs w:val="28"/>
        </w:rPr>
      </w:pPr>
      <w:r w:rsidRPr="00A359EC">
        <w:rPr>
          <w:rFonts w:cstheme="minorHAnsi"/>
          <w:i/>
          <w:color w:val="000000" w:themeColor="text1"/>
          <w:sz w:val="28"/>
          <w:szCs w:val="28"/>
        </w:rPr>
        <w:t>•</w:t>
      </w:r>
      <w:r w:rsidRPr="00A359EC">
        <w:rPr>
          <w:rFonts w:cstheme="minorHAnsi"/>
          <w:i/>
          <w:color w:val="000000" w:themeColor="text1"/>
          <w:sz w:val="28"/>
          <w:szCs w:val="28"/>
        </w:rPr>
        <w:tab/>
        <w:t>Identyfikacja źródeł niepewności</w:t>
      </w:r>
    </w:p>
    <w:p w14:paraId="71F350DB" w14:textId="77777777" w:rsidR="00A359EC" w:rsidRPr="00A359EC" w:rsidRDefault="00A359EC" w:rsidP="00A359EC">
      <w:pPr>
        <w:rPr>
          <w:rFonts w:cstheme="minorHAnsi"/>
          <w:i/>
          <w:color w:val="000000" w:themeColor="text1"/>
          <w:sz w:val="28"/>
          <w:szCs w:val="28"/>
        </w:rPr>
      </w:pPr>
      <w:r w:rsidRPr="00A359EC">
        <w:rPr>
          <w:rFonts w:cstheme="minorHAnsi"/>
          <w:i/>
          <w:color w:val="000000" w:themeColor="text1"/>
          <w:sz w:val="28"/>
          <w:szCs w:val="28"/>
        </w:rPr>
        <w:t>•</w:t>
      </w:r>
      <w:r w:rsidRPr="00A359EC">
        <w:rPr>
          <w:rFonts w:cstheme="minorHAnsi"/>
          <w:i/>
          <w:color w:val="000000" w:themeColor="text1"/>
          <w:sz w:val="28"/>
          <w:szCs w:val="28"/>
        </w:rPr>
        <w:tab/>
        <w:t>Określanie znaczenia oraz istotności składowych budżetu niepewności</w:t>
      </w:r>
    </w:p>
    <w:p w14:paraId="1E71C61D" w14:textId="77777777" w:rsidR="00A359EC" w:rsidRPr="00A359EC" w:rsidRDefault="00A359EC" w:rsidP="00A359EC">
      <w:pPr>
        <w:rPr>
          <w:rFonts w:cstheme="minorHAnsi"/>
          <w:i/>
          <w:color w:val="000000" w:themeColor="text1"/>
          <w:sz w:val="28"/>
          <w:szCs w:val="28"/>
        </w:rPr>
      </w:pPr>
      <w:r w:rsidRPr="00A359EC">
        <w:rPr>
          <w:rFonts w:cstheme="minorHAnsi"/>
          <w:i/>
          <w:color w:val="000000" w:themeColor="text1"/>
          <w:sz w:val="28"/>
          <w:szCs w:val="28"/>
        </w:rPr>
        <w:lastRenderedPageBreak/>
        <w:t>•</w:t>
      </w:r>
      <w:r w:rsidRPr="00A359EC">
        <w:rPr>
          <w:rFonts w:cstheme="minorHAnsi"/>
          <w:i/>
          <w:color w:val="000000" w:themeColor="text1"/>
          <w:sz w:val="28"/>
          <w:szCs w:val="28"/>
        </w:rPr>
        <w:tab/>
        <w:t>Konstruowanie budżetu niepewności - wykorzystanie wyników walidacji/weryfikacji i procesu potwierdzania ważności wyników do wyznaczania niepewności pomiaru</w:t>
      </w:r>
    </w:p>
    <w:p w14:paraId="1C31CA3D" w14:textId="0DCA1763" w:rsidR="00CF39B9" w:rsidRPr="00A359EC" w:rsidRDefault="00A359EC" w:rsidP="00A359EC">
      <w:pPr>
        <w:rPr>
          <w:rFonts w:cstheme="minorHAnsi"/>
          <w:i/>
          <w:color w:val="000000" w:themeColor="text1"/>
          <w:sz w:val="28"/>
          <w:szCs w:val="28"/>
        </w:rPr>
      </w:pPr>
      <w:r w:rsidRPr="00A359EC">
        <w:rPr>
          <w:rFonts w:cstheme="minorHAnsi"/>
          <w:i/>
          <w:color w:val="000000" w:themeColor="text1"/>
          <w:sz w:val="28"/>
          <w:szCs w:val="28"/>
        </w:rPr>
        <w:t>•</w:t>
      </w:r>
      <w:r w:rsidRPr="00A359EC">
        <w:rPr>
          <w:rFonts w:cstheme="minorHAnsi"/>
          <w:i/>
          <w:color w:val="000000" w:themeColor="text1"/>
          <w:sz w:val="28"/>
          <w:szCs w:val="28"/>
        </w:rPr>
        <w:tab/>
        <w:t>Budżet niepewności a wnioskowanie na jego podstawie o doskonaleniu procesu pomiarowego</w:t>
      </w:r>
    </w:p>
    <w:p w14:paraId="548F3710" w14:textId="77777777" w:rsidR="000A4FC3" w:rsidRPr="00A359EC" w:rsidRDefault="000A4FC3" w:rsidP="000A4FC3">
      <w:pPr>
        <w:jc w:val="both"/>
        <w:rPr>
          <w:rFonts w:cstheme="minorHAnsi"/>
          <w:i/>
          <w:color w:val="000000" w:themeColor="text1"/>
          <w:sz w:val="28"/>
          <w:szCs w:val="28"/>
        </w:rPr>
      </w:pPr>
    </w:p>
    <w:sectPr w:rsidR="000A4FC3" w:rsidRPr="00A35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7530A"/>
    <w:multiLevelType w:val="hybridMultilevel"/>
    <w:tmpl w:val="E1C250FC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870759"/>
    <w:multiLevelType w:val="hybridMultilevel"/>
    <w:tmpl w:val="0B1EEFAA"/>
    <w:lvl w:ilvl="0" w:tplc="0B9EEA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1CBF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A6F6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3E5B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2057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D239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9ACD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DEE4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FA8D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C9D174C"/>
    <w:multiLevelType w:val="hybridMultilevel"/>
    <w:tmpl w:val="001816B4"/>
    <w:lvl w:ilvl="0" w:tplc="4B66DF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F65C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8068E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BC93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BE41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EE65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669A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36B4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C414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7003832"/>
    <w:multiLevelType w:val="hybridMultilevel"/>
    <w:tmpl w:val="0D6EA2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83111"/>
    <w:multiLevelType w:val="hybridMultilevel"/>
    <w:tmpl w:val="2E8AE638"/>
    <w:lvl w:ilvl="0" w:tplc="7EB686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F6DC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7493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18B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F417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3C53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850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0280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F0A4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A4060EB"/>
    <w:multiLevelType w:val="hybridMultilevel"/>
    <w:tmpl w:val="CFA0E52E"/>
    <w:lvl w:ilvl="0" w:tplc="5D44980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436CB"/>
    <w:multiLevelType w:val="hybridMultilevel"/>
    <w:tmpl w:val="97D8BE5A"/>
    <w:lvl w:ilvl="0" w:tplc="0415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41BC0102"/>
    <w:multiLevelType w:val="hybridMultilevel"/>
    <w:tmpl w:val="9E521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E151F"/>
    <w:multiLevelType w:val="hybridMultilevel"/>
    <w:tmpl w:val="E1CE2AFE"/>
    <w:lvl w:ilvl="0" w:tplc="9E686B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AA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A445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8A78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7C5F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B484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F616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4A78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7C56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65A2EB8"/>
    <w:multiLevelType w:val="hybridMultilevel"/>
    <w:tmpl w:val="0CFEA95E"/>
    <w:lvl w:ilvl="0" w:tplc="0E6222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7A95D2">
      <w:start w:val="110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CDF0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02E65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16AB7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5EEA0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F4966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2A5F0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F87E7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CF3AC0"/>
    <w:multiLevelType w:val="hybridMultilevel"/>
    <w:tmpl w:val="5232A26A"/>
    <w:lvl w:ilvl="0" w:tplc="5D44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6EB83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BA33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0A45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4E23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C65D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825E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1C60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447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24864913">
    <w:abstractNumId w:val="10"/>
  </w:num>
  <w:num w:numId="2" w16cid:durableId="806045847">
    <w:abstractNumId w:val="2"/>
  </w:num>
  <w:num w:numId="3" w16cid:durableId="1752191071">
    <w:abstractNumId w:val="9"/>
  </w:num>
  <w:num w:numId="4" w16cid:durableId="921913659">
    <w:abstractNumId w:val="8"/>
  </w:num>
  <w:num w:numId="5" w16cid:durableId="355890132">
    <w:abstractNumId w:val="4"/>
  </w:num>
  <w:num w:numId="6" w16cid:durableId="1230995043">
    <w:abstractNumId w:val="1"/>
  </w:num>
  <w:num w:numId="7" w16cid:durableId="1701778360">
    <w:abstractNumId w:val="0"/>
  </w:num>
  <w:num w:numId="8" w16cid:durableId="1857694781">
    <w:abstractNumId w:val="5"/>
  </w:num>
  <w:num w:numId="9" w16cid:durableId="1229608847">
    <w:abstractNumId w:val="6"/>
  </w:num>
  <w:num w:numId="10" w16cid:durableId="80613651">
    <w:abstractNumId w:val="7"/>
  </w:num>
  <w:num w:numId="11" w16cid:durableId="4422695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CCA"/>
    <w:rsid w:val="000A4FC3"/>
    <w:rsid w:val="00180E2C"/>
    <w:rsid w:val="002B7226"/>
    <w:rsid w:val="00315737"/>
    <w:rsid w:val="003379DF"/>
    <w:rsid w:val="003675D3"/>
    <w:rsid w:val="004851CC"/>
    <w:rsid w:val="00656222"/>
    <w:rsid w:val="007F41AF"/>
    <w:rsid w:val="008348C4"/>
    <w:rsid w:val="00A359EC"/>
    <w:rsid w:val="00A62200"/>
    <w:rsid w:val="00AD24E1"/>
    <w:rsid w:val="00BA0CCA"/>
    <w:rsid w:val="00CF39B9"/>
    <w:rsid w:val="00F9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55418"/>
  <w15:chartTrackingRefBased/>
  <w15:docId w15:val="{707CCF81-155E-4E19-A262-21071080C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75D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0A4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A4F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195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29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71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25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41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740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51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49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26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0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7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6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4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608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909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91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65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7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01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170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115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308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969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456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138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83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968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939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898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053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512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7574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549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45863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3156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795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1772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4031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9178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6241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4506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2858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Madejska</dc:creator>
  <cp:keywords/>
  <dc:description/>
  <cp:lastModifiedBy>Iwona Madejska</cp:lastModifiedBy>
  <cp:revision>6</cp:revision>
  <dcterms:created xsi:type="dcterms:W3CDTF">2022-04-07T04:43:00Z</dcterms:created>
  <dcterms:modified xsi:type="dcterms:W3CDTF">2026-07-29T11:35:00Z</dcterms:modified>
</cp:coreProperties>
</file>